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r>
        <w:t>窗体顶端</w:t>
      </w:r>
    </w:p>
    <w:p>
      <w:pPr>
        <w:pStyle w:val="2"/>
        <w:keepNext w:val="0"/>
        <w:keepLines w:val="0"/>
        <w:widowControl/>
        <w:suppressLineNumbers w:val="0"/>
        <w:pBdr>
          <w:top w:val="none" w:color="auto" w:sz="0" w:space="0"/>
          <w:left w:val="none" w:color="auto" w:sz="0" w:space="0"/>
          <w:right w:val="none" w:color="auto" w:sz="0" w:space="0"/>
        </w:pBdr>
        <w:spacing w:line="456" w:lineRule="atLeast"/>
        <w:jc w:val="center"/>
        <w:rPr>
          <w:rFonts w:ascii="微软雅黑" w:hAnsi="微软雅黑" w:eastAsia="微软雅黑" w:cs="微软雅黑"/>
          <w:b/>
          <w:color w:val="111111"/>
          <w:sz w:val="28"/>
          <w:szCs w:val="28"/>
        </w:rPr>
      </w:pPr>
      <w:r>
        <w:rPr>
          <w:rFonts w:hint="eastAsia" w:ascii="微软雅黑" w:hAnsi="微软雅黑" w:eastAsia="微软雅黑" w:cs="微软雅黑"/>
          <w:b/>
          <w:color w:val="111111"/>
          <w:sz w:val="28"/>
          <w:szCs w:val="28"/>
          <w:bdr w:val="none" w:color="auto" w:sz="0" w:space="0"/>
        </w:rPr>
        <w:t>五邑大学2019年依据台湾地区大学入学考试学科能力测验成绩招收台湾高中毕业生简章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rPr>
          <w:rFonts w:ascii="微软雅黑" w:hAnsi="微软雅黑" w:eastAsia="微软雅黑" w:cs="微软雅黑"/>
          <w:color w:val="575757"/>
          <w:sz w:val="16"/>
          <w:szCs w:val="16"/>
        </w:rPr>
      </w:pPr>
      <w:r>
        <w:rPr>
          <w:rFonts w:hint="eastAsia" w:ascii="微软雅黑" w:hAnsi="微软雅黑" w:eastAsia="微软雅黑" w:cs="微软雅黑"/>
          <w:color w:val="666666"/>
          <w:kern w:val="0"/>
          <w:sz w:val="16"/>
          <w:szCs w:val="16"/>
          <w:bdr w:val="none" w:color="auto" w:sz="0" w:space="0"/>
          <w:lang w:val="en-US" w:eastAsia="zh-CN" w:bidi="ar"/>
        </w:rPr>
        <w:t xml:space="preserve">【来源：招生办公室 | 发布日期：2019-03-14 】 </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rPr>
        <w:t>一、学校简介</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五邑大学是由广东省人民政府于1985年设立的以工科为主的多科性大学，是广东省较早获得硕士、学士学位授予权的地方高校，具有接收港澳台侨学生、国际学生资格和优秀应届本科毕业生推荐免试攻读研究生资格，现为广东省高水平理工科大学建设高校。</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学校坚持践行“好学、多思、求实、创新”的校训，秉承“根植侨乡，服务社会，内外合力，特色发展”的办学理念，积极培养思想品德高尚、基础知识扎实，具有国际化视野、较强实践能力和创新创业能力，适应地方经济社会发展需求的高素质应用型人才。</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学校地处“中国第一侨乡”——广东省江门市，校园占地面积1000余亩，总建筑面积近70万平方米。环境优美，基础设施齐全，办学条件良好。学校面向全国24个省区市、港澳台地区招收本科学生，面向国内外招收研究生。现有各类在籍学生2.4万余人，其中全日制本科生1.9万余人，研究生近500人。</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学校设有17个教学机构，77个本科专业（方向），涉及工、理、经、管、文、法、艺术等7个学科门类，理工类专业（方向）占比65%。现有国家级特色专业、国家级专业综合改革试点共5个，省级重点（名牌）专业、省级应用型人才培养示范专业等共34个，国家级大学生校外实践教育基地1个，省级大学生实践教学基地19个，省级实验教学示范中心14个；建有轨道交通综合实验中心、化学与环境工程实验中心、光机电工程教育中心、现代纺织工程实验中心、艺术设计综合实验中心等一批工科实验实训基地，其中轨道交通综合实验中心是目前全省该类专业规模最大、综合性最强、功能最全的实验实训大平台。本科生初次就业率多年位居全省公办本科高校首位，人才培养质量得到社会广泛认可。</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学校现有10个省级重点学科，6个一级硕士学位授权点和5个独立二级硕士学位授权点（共27个二级硕士学位授权点）和工程硕士、教育硕士两个类别共10个专业硕士授权领域，硕士授权覆盖学校所有理工科专业。</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学校现有在职教职工1000余人，其中专任教师900余人，高级职称占比近50%，博士学位占比达43%；拥有国家级高层次人才20余人（其中包括院士3人、长江学者2人、国家“杰青”4人、海外“杰青”1人、国家“优青”2人、国家“万人计划”入选者1人等），省级高层次人才9人，海外各类优秀人才40余人。</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学校拥有省级新型研发机构1个、省级工程技术研究中心8个、省级人文社科研究基地2个、省级非物质文化遗产研究基地1个，市厅级科研平台47个。其中“广东省侨乡文化与遗产协同创新发展中心”成为省首批认定的20个协同创新平台之一。广东侨乡文化研究中心作为主要学术支持、首席专家单位，为广东省获得第一个世界文化遗产——开平碉楼与村落及世界记忆遗产——侨批档案作出杰出贡献，研究中心在文化遗产挖掘与保护的研究水平和成果转化能力居全国领先水平，在国际上也具有较大的影响力。</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学校大力开展对外交流合作。先后与美国、英国、德国等14个国家和地区近50所高校建立了合作关系，在学科建设、人才培养、学术研究、师资培训等方面开展了实质性合作。其中，与美国罗格斯大学、英国利物浦热带医学院、德国卡尔斯鲁厄理工学院、香港科技大学等国（境）外高水平大学建立了海外联合研发和研究生联合培养基地。</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rPr>
        <w:t>二、报名办法</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rPr>
        <w:t>（一）报名条件</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1.具有台湾居民居住证或《台湾居民往来大陆通行证》及在台湾居住的有效身份证明，所持证件须在有效期之内；</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2.参加2019年台湾地区大学入学考试学科能力测验(以下简称“学测”)，其中语文、数学、英文考试科目任意一科成绩达到均标级以上（含均标）的台湾高中毕业生。</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rPr>
        <w:t>（二）报名时间</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即日起至2019年5月24日</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rPr>
        <w:t>（三）报名方式</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符合申请条件欲报考我校的台湾高中毕业生可向我校提交申请，申请材料包括：</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1.《五邑大学2019年免试招收台湾高中毕业生入学申请表》（见附件，打印手写签字后扫描）；</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2.学测成绩通知单扫描件；</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3.高中成绩证明扫描件；</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4.台湾居民身份证或《台湾居民来往大陆通行证》及在台湾居住的有效身份证件扫描件；</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5.高中阶段的获奖证书或相关经历证明材料扫描件；</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6.电子版一寸免冠证件照（JPG格式，照片名称为个人名字）。</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上述材料于2019年5月24日前发送至学校招生办邮箱（wyuzsb@126.com），无需另外邮寄，邮件主题标注“姓名-台湾免试生”字样，请考生须确保上传的扫描件清晰可读。</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rPr>
        <w:t>三、招生专业及招生计划</w:t>
      </w:r>
    </w:p>
    <w:tbl>
      <w:tblPr>
        <w:tblW w:w="708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68"/>
        <w:gridCol w:w="1044"/>
        <w:gridCol w:w="1116"/>
        <w:gridCol w:w="828"/>
        <w:gridCol w:w="684"/>
        <w:gridCol w:w="612"/>
        <w:gridCol w:w="2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8" w:hRule="atLeast"/>
          <w:tblCellSpacing w:w="0" w:type="dxa"/>
          <w:jc w:val="center"/>
        </w:trPr>
        <w:tc>
          <w:tcPr>
            <w:tcW w:w="468" w:type="dxa"/>
            <w:tcBorders>
              <w:top w:val="single" w:color="000000"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bdr w:val="none" w:color="auto" w:sz="0" w:space="0"/>
              </w:rPr>
              <w:t>序号</w:t>
            </w:r>
          </w:p>
        </w:tc>
        <w:tc>
          <w:tcPr>
            <w:tcW w:w="1044" w:type="dxa"/>
            <w:tcBorders>
              <w:top w:val="single" w:color="000000"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bdr w:val="none" w:color="auto" w:sz="0" w:space="0"/>
              </w:rPr>
              <w:t>专业名称</w:t>
            </w:r>
          </w:p>
        </w:tc>
        <w:tc>
          <w:tcPr>
            <w:tcW w:w="1116" w:type="dxa"/>
            <w:tcBorders>
              <w:top w:val="single" w:color="000000"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bdr w:val="none" w:color="auto" w:sz="0" w:space="0"/>
              </w:rPr>
              <w:t>专业方向</w:t>
            </w:r>
          </w:p>
        </w:tc>
        <w:tc>
          <w:tcPr>
            <w:tcW w:w="828" w:type="dxa"/>
            <w:tcBorders>
              <w:top w:val="single" w:color="000000"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bdr w:val="none" w:color="auto" w:sz="0" w:space="0"/>
              </w:rPr>
              <w:t>计划类别</w:t>
            </w:r>
          </w:p>
        </w:tc>
        <w:tc>
          <w:tcPr>
            <w:tcW w:w="684" w:type="dxa"/>
            <w:tcBorders>
              <w:top w:val="single" w:color="000000"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bdr w:val="none" w:color="auto" w:sz="0" w:space="0"/>
              </w:rPr>
              <w:t>科类</w:t>
            </w:r>
          </w:p>
        </w:tc>
        <w:tc>
          <w:tcPr>
            <w:tcW w:w="612" w:type="dxa"/>
            <w:tcBorders>
              <w:top w:val="single" w:color="000000"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bdr w:val="none" w:color="auto" w:sz="0" w:space="0"/>
              </w:rPr>
              <w:t>学制</w:t>
            </w:r>
          </w:p>
        </w:tc>
        <w:tc>
          <w:tcPr>
            <w:tcW w:w="2328" w:type="dxa"/>
            <w:tcBorders>
              <w:top w:val="single" w:color="000000"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bdr w:val="none" w:color="auto" w:sz="0" w:space="0"/>
              </w:rPr>
              <w:t>专业备注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1</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信息管理与信息系统</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2</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交通工程</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按专业招生，分专业模块多学院共同培养</w:t>
            </w: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不招色盲者；因用人单位可能对考生身体素质有要求，请色弱者慎重报考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3</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数学与应用数学</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师范</w:t>
            </w: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电子信息工程</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按专业招生，分专业模块多学院共同培养</w:t>
            </w: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不招单色识别不全者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5</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电气工程及其自动化</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不招单色识别不全者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6</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自动化</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不招单色识别不全者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7</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通信工程</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按专业招生，分专业模块多学院共同培养</w:t>
            </w: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不招单色识别不全者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8</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计算机科学与技术</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不招单色识别不全者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9</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软件工程</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不招单色识别不全者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10</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网络工程</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不招单色识别不全者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11</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机械工程</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不招色盲者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12</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土木工程</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13</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建筑学</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5</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要求有素描基础，不招色盲色弱者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14</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工程管理</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15</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化学工程与工艺</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不招色盲色弱者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16</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环境工程</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不招色盲色弱者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17</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纺织工程</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按专业招生，分专业模块多学院共同培养</w:t>
            </w: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不招色盲色弱者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18</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应用化学</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按专业招生，分专业模块培养</w:t>
            </w: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不招色盲色弱者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19</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工业设计</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要求有素描基础，不招色盲者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20</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材料科学与工程</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不招色盲色弱者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468" w:type="dxa"/>
            <w:tcBorders>
              <w:top w:val="single" w:color="auto" w:sz="4" w:space="0"/>
              <w:left w:val="single" w:color="000000"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21</w:t>
            </w:r>
          </w:p>
        </w:tc>
        <w:tc>
          <w:tcPr>
            <w:tcW w:w="104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制药工程</w:t>
            </w:r>
          </w:p>
        </w:tc>
        <w:tc>
          <w:tcPr>
            <w:tcW w:w="1116"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575757"/>
                <w:sz w:val="16"/>
                <w:szCs w:val="16"/>
              </w:rPr>
            </w:pPr>
          </w:p>
        </w:tc>
        <w:tc>
          <w:tcPr>
            <w:tcW w:w="8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普通类</w:t>
            </w:r>
          </w:p>
        </w:tc>
        <w:tc>
          <w:tcPr>
            <w:tcW w:w="684"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理工类</w:t>
            </w:r>
          </w:p>
        </w:tc>
        <w:tc>
          <w:tcPr>
            <w:tcW w:w="612"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4</w:t>
            </w:r>
          </w:p>
        </w:tc>
        <w:tc>
          <w:tcPr>
            <w:tcW w:w="2328" w:type="dxa"/>
            <w:tcBorders>
              <w:top w:val="single" w:color="auto" w:sz="4" w:space="0"/>
              <w:left w:val="single" w:color="auto" w:sz="4" w:space="0"/>
              <w:bottom w:val="single" w:color="000000" w:sz="4" w:space="0"/>
              <w:right w:val="single" w:color="000000" w:sz="4" w:space="0"/>
            </w:tcBorders>
            <w:shd w:val="clear"/>
            <w:tcMar>
              <w:top w:w="12" w:type="dxa"/>
              <w:left w:w="12" w:type="dxa"/>
              <w:bottom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bdr w:val="none" w:color="auto" w:sz="0" w:space="0"/>
              </w:rPr>
              <w:t>不招色盲色弱者</w:t>
            </w:r>
          </w:p>
        </w:tc>
      </w:tr>
    </w:tbl>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电子信息工程、通信工程、交通工程、纺织工程、应用化学等专业按专业招生，分专业模块多学院共同培养。</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本科普通类计划10人（只限理工类）。</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rPr>
        <w:t>四、录取原则</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学校根据申请人“学测”成绩、综合情况等进行审核评定（免面试）和择优录取，并将合格名单报送中国普通高校联合招生办公室审核，申请办理录取手续；录取通知书于7月进行发放。</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rPr>
        <w:t>五、收费标准</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被我校录取的台湾高中毕业生入学注册时，应按照学校规定缴纳学费、住宿费及其他费用，收费标准与内地（祖国大陆）同专业学生相同。</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学费：文史、财经、管理专业 5050元/每人每年；</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理工、外语专业 5710元/每人每年；</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住宿费：1700-1800元/年•人（具体按照不同住宿条件确定）。</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以上收费标准若有更改，以政府有关部门最新核定为准。</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rPr>
        <w:t>六、入学及在校管理</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1.被我校录取的学生请按照录取通知书规定的时间到学校报到注册；</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2.新生入校后须进行入学资格审查，凡不符合报名、录取条件或弄虚作假者，将被取消入学资格；</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3.新生入学后，学校以教育部、卫生部、中国残疾人联合会颁布的《普通高等学校招生体检工作指导意见》和《教育部办公厅 卫生部办公厅关于普通高等学校招生学生入学身体检查取消乙肝项目检测有关问题的通知》为依据，对新生进行身体健康状况复查，对经复查不符合体检要求或不宜就读已录取专业者，按学籍管理有关规定办理，予以转专业或取消入学资格。</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4.台湾地区学生的教育和管理均按我校本科学生相关规定执行。</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rPr>
        <w:t>七、招生咨询、监督与申诉</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（一）招生咨询</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咨询部门：五邑大学招生办公室</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咨询电话：0750-3296265、3296263</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传 真：0750-3296267</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电子邮箱：wyuzsb@126.com</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学校网址：http://www.wyu.edu.cn</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招生网址：http://www.wyu.edu.cn/zsb/</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微信公众号：五邑大学招生办（wyuzsbgs）</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（二）招生工作的监督与申诉</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接受监督与申诉受理部门：五邑大学纪委办公室、监察处</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监督电话：0750-3296291</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传 真：0750-3681733</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电子邮箱：jjjc@wyu.cn</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Style w:val="6"/>
          <w:rFonts w:hint="eastAsia" w:ascii="微软雅黑" w:hAnsi="微软雅黑" w:eastAsia="微软雅黑" w:cs="微软雅黑"/>
          <w:color w:val="575757"/>
          <w:sz w:val="19"/>
          <w:szCs w:val="19"/>
        </w:rPr>
        <w:t>八、其他</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本简章内容如与上级教育主管部门招生规定不一致时，以上级教育主管部门规定为准。</w:t>
      </w:r>
    </w:p>
    <w:p>
      <w:pPr>
        <w:pStyle w:val="3"/>
        <w:keepNext w:val="0"/>
        <w:keepLines w:val="0"/>
        <w:widowControl/>
        <w:suppressLineNumbers w:val="0"/>
        <w:spacing w:line="336" w:lineRule="atLeast"/>
        <w:ind w:left="0" w:firstLine="420"/>
        <w:rPr>
          <w:rFonts w:hint="eastAsia" w:ascii="微软雅黑" w:hAnsi="微软雅黑" w:eastAsia="微软雅黑" w:cs="微软雅黑"/>
          <w:sz w:val="19"/>
          <w:szCs w:val="19"/>
        </w:rPr>
      </w:pPr>
    </w:p>
    <w:p>
      <w:pPr>
        <w:pStyle w:val="3"/>
        <w:keepNext w:val="0"/>
        <w:keepLines w:val="0"/>
        <w:widowControl/>
        <w:suppressLineNumbers w:val="0"/>
        <w:spacing w:line="336" w:lineRule="atLeast"/>
        <w:ind w:left="0" w:firstLine="420"/>
        <w:jc w:val="right"/>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五邑大学招生办公室</w:t>
      </w:r>
    </w:p>
    <w:p>
      <w:pPr>
        <w:pStyle w:val="3"/>
        <w:keepNext w:val="0"/>
        <w:keepLines w:val="0"/>
        <w:widowControl/>
        <w:suppressLineNumbers w:val="0"/>
        <w:spacing w:line="336" w:lineRule="atLeast"/>
        <w:ind w:left="0" w:firstLine="420"/>
        <w:jc w:val="right"/>
        <w:rPr>
          <w:rFonts w:hint="eastAsia" w:ascii="微软雅黑" w:hAnsi="微软雅黑" w:eastAsia="微软雅黑" w:cs="微软雅黑"/>
          <w:sz w:val="19"/>
          <w:szCs w:val="19"/>
        </w:rPr>
      </w:pPr>
      <w:r>
        <w:rPr>
          <w:rFonts w:hint="eastAsia" w:ascii="微软雅黑" w:hAnsi="微软雅黑" w:eastAsia="微软雅黑" w:cs="微软雅黑"/>
          <w:color w:val="575757"/>
          <w:sz w:val="19"/>
          <w:szCs w:val="19"/>
        </w:rPr>
        <w:t>2019年3月12日</w:t>
      </w:r>
    </w:p>
    <w:p>
      <w:pPr>
        <w:pStyle w:val="13"/>
      </w:pPr>
      <w:r>
        <w:t>窗体底端</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64AF9"/>
    <w:rsid w:val="63E6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style>
  <w:style w:type="character" w:styleId="9">
    <w:name w:val="Hyperlink"/>
    <w:basedOn w:val="5"/>
    <w:uiPriority w:val="0"/>
    <w:rPr>
      <w:color w:val="333333"/>
      <w:u w:val="none"/>
    </w:rPr>
  </w:style>
  <w:style w:type="character" w:customStyle="1" w:styleId="10">
    <w:name w:val="tit12"/>
    <w:basedOn w:val="5"/>
    <w:uiPriority w:val="0"/>
    <w:rPr>
      <w:color w:val="680034"/>
      <w:sz w:val="24"/>
      <w:szCs w:val="24"/>
      <w:bdr w:val="none" w:color="auto" w:sz="0" w:space="0"/>
    </w:rPr>
  </w:style>
  <w:style w:type="character" w:customStyle="1" w:styleId="11">
    <w:name w:val="time"/>
    <w:basedOn w:val="5"/>
    <w:uiPriority w:val="0"/>
    <w:rPr>
      <w:color w:val="C9C9C9"/>
      <w:sz w:val="16"/>
      <w:szCs w:val="16"/>
    </w:rPr>
  </w:style>
  <w:style w:type="paragraph" w:styleId="12">
    <w:name w:val=""/>
    <w:basedOn w:val="1"/>
    <w:next w:val="1"/>
    <w:uiPriority w:val="0"/>
    <w:pPr>
      <w:pBdr>
        <w:bottom w:val="single" w:color="auto" w:sz="6" w:space="1"/>
      </w:pBdr>
      <w:jc w:val="center"/>
    </w:pPr>
    <w:rPr>
      <w:rFonts w:ascii="Arial" w:eastAsia="宋体"/>
      <w:vanish/>
      <w:sz w:val="16"/>
    </w:rPr>
  </w:style>
  <w:style w:type="paragraph" w:styleId="13">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2020-01-13T02:37:00Z</dcterms:created>
  <dc:creator>Administrator</dc:creator>
  <cp:lastModifiedBy>Administrator</cp:lastModifiedBy>
  <dcterms:modified xsi:type="dcterms:W3CDTF">2020-01-13T02:38:29Z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